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  <w:bookmarkStart w:id="0" w:name="_Toc424284809"/>
      <w:bookmarkStart w:id="1" w:name="sub_1"/>
    </w:p>
    <w:p w:rsidR="00FF2220" w:rsidRPr="00FF2220" w:rsidRDefault="00FF2220" w:rsidP="00FF2220">
      <w:pPr>
        <w:keepNext/>
        <w:keepLines/>
        <w:tabs>
          <w:tab w:val="left" w:pos="993"/>
          <w:tab w:val="left" w:pos="6521"/>
        </w:tabs>
        <w:jc w:val="both"/>
        <w:rPr>
          <w:sz w:val="22"/>
        </w:rPr>
      </w:pPr>
      <w:r>
        <w:rPr>
          <w:b/>
        </w:rPr>
        <w:tab/>
      </w:r>
      <w:r>
        <w:rPr>
          <w:b/>
        </w:rPr>
        <w:tab/>
      </w:r>
      <w:r w:rsidRPr="00FF2220">
        <w:rPr>
          <w:sz w:val="22"/>
        </w:rPr>
        <w:t>Приложение</w:t>
      </w:r>
      <w:r w:rsidR="00B93431">
        <w:rPr>
          <w:sz w:val="22"/>
        </w:rPr>
        <w:t xml:space="preserve"> №</w:t>
      </w:r>
      <w:r w:rsidR="000B2C68">
        <w:rPr>
          <w:sz w:val="22"/>
        </w:rPr>
        <w:t xml:space="preserve"> 2_</w:t>
      </w:r>
      <w:r w:rsidRPr="00FF2220">
        <w:rPr>
          <w:sz w:val="22"/>
        </w:rPr>
        <w:t>к приказу</w:t>
      </w:r>
    </w:p>
    <w:p w:rsidR="00FF2220" w:rsidRPr="00FF2220" w:rsidRDefault="00FF2220" w:rsidP="00FF2220">
      <w:pPr>
        <w:keepNext/>
        <w:keepLines/>
        <w:tabs>
          <w:tab w:val="left" w:pos="993"/>
          <w:tab w:val="left" w:pos="6521"/>
        </w:tabs>
        <w:jc w:val="both"/>
        <w:rPr>
          <w:sz w:val="22"/>
        </w:rPr>
      </w:pPr>
      <w:r w:rsidRPr="00FF2220">
        <w:rPr>
          <w:sz w:val="22"/>
        </w:rPr>
        <w:tab/>
      </w:r>
      <w:r w:rsidRPr="00FF2220">
        <w:rPr>
          <w:sz w:val="22"/>
        </w:rPr>
        <w:tab/>
        <w:t xml:space="preserve">от </w:t>
      </w:r>
      <w:r w:rsidR="004C3AEC">
        <w:rPr>
          <w:sz w:val="22"/>
        </w:rPr>
        <w:t xml:space="preserve">30.08.2022 </w:t>
      </w:r>
      <w:r w:rsidRPr="00FF2220">
        <w:rPr>
          <w:sz w:val="22"/>
        </w:rPr>
        <w:t>№</w:t>
      </w:r>
      <w:r w:rsidR="004C3AEC">
        <w:rPr>
          <w:sz w:val="22"/>
        </w:rPr>
        <w:t>2/5</w:t>
      </w:r>
      <w:r w:rsidRPr="00FF2220">
        <w:rPr>
          <w:sz w:val="22"/>
        </w:rPr>
        <w:t>______</w:t>
      </w:r>
    </w:p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</w:p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</w:p>
    <w:p w:rsidR="00FF2220" w:rsidRDefault="00FF2220" w:rsidP="00AF1292">
      <w:pPr>
        <w:keepNext/>
        <w:keepLines/>
        <w:tabs>
          <w:tab w:val="left" w:pos="993"/>
          <w:tab w:val="left" w:pos="6521"/>
        </w:tabs>
        <w:rPr>
          <w:b/>
        </w:rPr>
      </w:pPr>
    </w:p>
    <w:p w:rsidR="00CB517C" w:rsidRPr="00AF1292" w:rsidRDefault="00CB517C" w:rsidP="00B93431">
      <w:pPr>
        <w:keepNext/>
        <w:keepLines/>
        <w:tabs>
          <w:tab w:val="left" w:pos="993"/>
          <w:tab w:val="left" w:pos="6521"/>
        </w:tabs>
        <w:jc w:val="both"/>
        <w:rPr>
          <w:b/>
        </w:rPr>
      </w:pPr>
    </w:p>
    <w:p w:rsidR="002160EC" w:rsidRDefault="00372BAD" w:rsidP="0081190F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ПОЛОЖЕНИЕ ОБ АНТИКОРРУПЦИОННОЙ ПОЛИТИКЕ </w:t>
      </w:r>
    </w:p>
    <w:p w:rsidR="002B337E" w:rsidRPr="0098255C" w:rsidRDefault="000B2C68" w:rsidP="0081190F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>
        <w:rPr>
          <w:b/>
        </w:rPr>
        <w:t>Муниципального казен</w:t>
      </w:r>
      <w:r w:rsidR="0081190F" w:rsidRPr="0081190F">
        <w:rPr>
          <w:b/>
        </w:rPr>
        <w:t>ного дошкольного образовател</w:t>
      </w:r>
      <w:r>
        <w:rPr>
          <w:b/>
        </w:rPr>
        <w:t>ьного учреждения «Яснополянский детский сад</w:t>
      </w:r>
      <w:r w:rsidR="0081190F" w:rsidRPr="0081190F">
        <w:rPr>
          <w:b/>
        </w:rPr>
        <w:t>»</w:t>
      </w:r>
    </w:p>
    <w:p w:rsidR="004C3AEC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  <w:lang w:val="en-US"/>
        </w:rPr>
      </w:pPr>
    </w:p>
    <w:p w:rsidR="002B337E" w:rsidRPr="002F27A6" w:rsidRDefault="009E48EF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Default="00774399" w:rsidP="004C3AEC">
      <w:pPr>
        <w:keepNext/>
        <w:keepLines/>
        <w:tabs>
          <w:tab w:val="left" w:pos="0"/>
          <w:tab w:val="left" w:pos="993"/>
        </w:tabs>
        <w:jc w:val="both"/>
      </w:pPr>
      <w:r>
        <w:t>1. </w:t>
      </w:r>
      <w:r w:rsidR="00372BAD">
        <w:t>Антикоррупционная политика</w:t>
      </w:r>
      <w:r w:rsidR="000B2C68">
        <w:t xml:space="preserve"> Муниципального казен</w:t>
      </w:r>
      <w:r w:rsidR="0081190F" w:rsidRPr="0081190F">
        <w:t>ного дошкольного образовательного учр</w:t>
      </w:r>
      <w:r w:rsidR="000B2C68">
        <w:t>еждения «Яснополянский детский сад</w:t>
      </w:r>
      <w:r w:rsidR="0081190F" w:rsidRPr="0081190F">
        <w:t>»</w:t>
      </w:r>
      <w:r w:rsidR="0081190F"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0B2C68">
        <w:t>Муниципального казен</w:t>
      </w:r>
      <w:r w:rsidR="0081190F" w:rsidRPr="0081190F">
        <w:t>ного дошкольного образователь</w:t>
      </w:r>
      <w:r w:rsidR="000B2C68">
        <w:t>ного учреждения «Яснополянский детский сад</w:t>
      </w:r>
      <w:r w:rsidR="0081190F" w:rsidRPr="0081190F">
        <w:t>»</w:t>
      </w:r>
      <w:r w:rsidR="0081190F"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FF2220" w:rsidP="0081190F">
      <w:pPr>
        <w:keepNext/>
        <w:keepLines/>
        <w:tabs>
          <w:tab w:val="left" w:pos="0"/>
          <w:tab w:val="left" w:pos="993"/>
        </w:tabs>
        <w:jc w:val="both"/>
      </w:pPr>
      <w:r>
        <w:rPr>
          <w:sz w:val="22"/>
        </w:rPr>
        <w:t xml:space="preserve">     </w:t>
      </w:r>
      <w:r w:rsidR="00774399"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4B6E34">
        <w:t xml:space="preserve">нормативных правовых актов Окружной администрации </w:t>
      </w:r>
      <w:r w:rsidR="000B2C68">
        <w:t>МР «Кизлярский район»г</w:t>
      </w:r>
      <w:r w:rsidR="004B6E34">
        <w:t xml:space="preserve">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минимизация рисков вовлечения Учреждения и его работников 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2B337E" w:rsidRPr="00E92D79" w:rsidRDefault="001262E8" w:rsidP="004C3AEC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  <w:bookmarkStart w:id="2" w:name="_GoBack"/>
      <w:bookmarkEnd w:id="2"/>
      <w:r w:rsidR="00D7000A"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CB3500" w:rsidRPr="00E92D79">
        <w:rPr>
          <w:b/>
        </w:rPr>
        <w:t>оррупция</w:t>
      </w:r>
      <w:r w:rsidR="00CB3500"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BE502F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В</w:t>
      </w:r>
      <w:r w:rsidR="006C3C3B" w:rsidRPr="00E92D79">
        <w:rPr>
          <w:b/>
        </w:rPr>
        <w:t>зятка</w:t>
      </w:r>
      <w:r w:rsidR="006C3C3B"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BE502F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EA28A0" w:rsidRPr="00E92D79">
        <w:rPr>
          <w:b/>
        </w:rPr>
        <w:t>оммерческий подкуп</w:t>
      </w:r>
      <w:r w:rsidR="00EA28A0"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="00635AB6"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lastRenderedPageBreak/>
        <w:t>П</w:t>
      </w:r>
      <w:r w:rsidR="00E2715C" w:rsidRPr="00E92D79">
        <w:rPr>
          <w:b/>
        </w:rPr>
        <w:t>редупреждение коррупции</w:t>
      </w:r>
      <w:r w:rsidR="00635AB6"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Р</w:t>
      </w:r>
      <w:r w:rsidR="00CB3500" w:rsidRPr="00E92D79">
        <w:rPr>
          <w:b/>
        </w:rPr>
        <w:t>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="00CB3500" w:rsidRPr="00E92D79">
        <w:t>‒ физическое лицо, вступившее в трудовые отношения с</w:t>
      </w:r>
      <w:r w:rsidR="006B4E83" w:rsidRPr="00E92D79">
        <w:t xml:space="preserve"> </w:t>
      </w:r>
      <w:r w:rsidR="00CB3500" w:rsidRPr="00E92D79">
        <w:t>Учреждением;</w:t>
      </w:r>
    </w:p>
    <w:p w:rsidR="00607654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607654" w:rsidRPr="00E92D79">
        <w:rPr>
          <w:b/>
        </w:rPr>
        <w:t>онтрагент</w:t>
      </w:r>
      <w:r w:rsidR="006B4E83" w:rsidRPr="00E92D79">
        <w:rPr>
          <w:b/>
        </w:rPr>
        <w:t xml:space="preserve"> </w:t>
      </w:r>
      <w:r w:rsidR="00607654" w:rsidRPr="00E92D79">
        <w:t>Учреждения</w:t>
      </w:r>
      <w:r w:rsidR="006B4E83" w:rsidRPr="00E92D79">
        <w:t> </w:t>
      </w:r>
      <w:r w:rsidR="00607654"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К</w:t>
      </w:r>
      <w:r w:rsidR="00CB3500" w:rsidRPr="00E92D79">
        <w:rPr>
          <w:b/>
        </w:rPr>
        <w:t>онфликт интересов</w:t>
      </w:r>
      <w:r w:rsidR="00EA7820" w:rsidRPr="00E92D79">
        <w:rPr>
          <w:rStyle w:val="af7"/>
          <w:b/>
        </w:rPr>
        <w:footnoteReference w:id="2"/>
      </w:r>
      <w:r w:rsidR="00CB3500"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="00CB3500" w:rsidRPr="00E92D79">
        <w:t xml:space="preserve">(представителя </w:t>
      </w:r>
      <w:r w:rsidR="00EA28A0" w:rsidRPr="00E92D79">
        <w:t>Учреждения</w:t>
      </w:r>
      <w:r w:rsidR="00CB3500"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BE502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rPr>
          <w:b/>
        </w:rPr>
        <w:t>Л</w:t>
      </w:r>
      <w:r w:rsidR="00CB3500" w:rsidRPr="00E92D79">
        <w:rPr>
          <w:b/>
        </w:rPr>
        <w:t>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t xml:space="preserve">                          </w:t>
      </w:r>
      <w:r w:rsidR="009E48EF" w:rsidRPr="00E92D79">
        <w:rPr>
          <w:b/>
          <w:lang w:val="en-US"/>
        </w:rPr>
        <w:t>II</w:t>
      </w:r>
      <w:r w:rsidR="009E48EF"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774399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</w:pPr>
      <w:r>
        <w:t xml:space="preserve">          </w:t>
      </w:r>
      <w:r w:rsidR="009E48EF"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435886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</w:t>
      </w:r>
      <w:r w:rsidR="00F3638A"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2F27A6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</w:pPr>
      <w:r>
        <w:rPr>
          <w:b/>
        </w:rPr>
        <w:t xml:space="preserve">       </w:t>
      </w:r>
      <w:r w:rsidR="00F3638A"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>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C67388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t xml:space="preserve">             </w:t>
      </w:r>
      <w:r w:rsidR="00F3638A"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F3638A" w:rsidP="004C3AEC">
      <w:pPr>
        <w:pStyle w:val="af4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4B6E34">
        <w:rPr>
          <w:rFonts w:cs="Times New Roman"/>
          <w:szCs w:val="28"/>
        </w:rPr>
        <w:t xml:space="preserve">профилактику коррупционных и иных правонарушений, 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</w:t>
      </w:r>
      <w:r w:rsidR="004B6E34" w:rsidRPr="004B6E34">
        <w:rPr>
          <w:rFonts w:cs="Times New Roman"/>
          <w:szCs w:val="28"/>
        </w:rPr>
        <w:t>профилактику коррупционных и иных правонарушений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</w:t>
      </w:r>
      <w:r w:rsidR="00535F0B" w:rsidRPr="00E92D79">
        <w:rPr>
          <w:rFonts w:cs="Times New Roman"/>
          <w:szCs w:val="28"/>
        </w:rPr>
        <w:t>.</w:t>
      </w:r>
    </w:p>
    <w:p w:rsidR="002D0904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t xml:space="preserve">        </w:t>
      </w:r>
      <w:r w:rsidR="00F3638A"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2908D8" w:rsidRPr="00E92D79" w:rsidRDefault="004C3AEC" w:rsidP="004C3AEC">
      <w:pPr>
        <w:pStyle w:val="af4"/>
        <w:jc w:val="both"/>
      </w:pPr>
      <w:r>
        <w:rPr>
          <w:b/>
        </w:rPr>
        <w:t xml:space="preserve">       </w:t>
      </w:r>
      <w:r w:rsidR="003632F4" w:rsidRPr="00E92D79">
        <w:t>1</w:t>
      </w:r>
      <w:r w:rsidR="00F3638A" w:rsidRPr="00E92D79">
        <w:t>2</w:t>
      </w:r>
      <w:r w:rsidR="003632F4"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="003632F4"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Default="003632F4" w:rsidP="003632F4">
      <w:pPr>
        <w:pStyle w:val="af4"/>
        <w:ind w:firstLine="709"/>
        <w:jc w:val="both"/>
      </w:pPr>
      <w:r w:rsidRPr="00E92D79">
        <w:t xml:space="preserve">- воздерживаться от поведения, которое может быть истолковано окружающими как готовность совершить или участвовать в совершении </w:t>
      </w:r>
      <w:r w:rsidRPr="00E92D79">
        <w:lastRenderedPageBreak/>
        <w:t>коррупционного правонарушения, в том числе в интересах или от имени Учреждения</w:t>
      </w:r>
      <w:r w:rsidR="00B47429">
        <w:t>;</w:t>
      </w:r>
    </w:p>
    <w:p w:rsidR="00B47429" w:rsidRDefault="00B47429" w:rsidP="003632F4">
      <w:pPr>
        <w:pStyle w:val="af4"/>
        <w:ind w:firstLine="709"/>
        <w:jc w:val="both"/>
      </w:pPr>
      <w:r>
        <w:t xml:space="preserve">- воздерживаться от </w:t>
      </w:r>
      <w:r w:rsidR="00836046">
        <w:t>получения/дарения подарк</w:t>
      </w:r>
      <w:r w:rsidR="001C3B37">
        <w:t>ов</w:t>
      </w:r>
      <w:r w:rsidR="00836046">
        <w:t>, противоречащ</w:t>
      </w:r>
      <w:r w:rsidR="001C3B37">
        <w:t>их</w:t>
      </w:r>
      <w:r w:rsidR="00836046">
        <w:t xml:space="preserve"> нормам действующего законодательства Российской Федерации и </w:t>
      </w:r>
      <w:r w:rsidR="00035B9B">
        <w:t xml:space="preserve">которые </w:t>
      </w:r>
      <w:r w:rsidR="00836046">
        <w:t>выз</w:t>
      </w:r>
      <w:r w:rsidR="001C3B37">
        <w:t>ываю</w:t>
      </w:r>
      <w:r w:rsidR="00836046">
        <w:t>т или мо</w:t>
      </w:r>
      <w:r w:rsidR="001C3B37">
        <w:t>гут</w:t>
      </w:r>
      <w:r w:rsidR="00836046">
        <w:t xml:space="preserve"> вызвать конфликт интересов.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>- </w:t>
      </w:r>
      <w:r w:rsidR="00035B9B">
        <w:t xml:space="preserve">незамедлительно уведомить </w:t>
      </w:r>
      <w:r w:rsidR="008260F6" w:rsidRPr="00E92D79">
        <w:t>руководител</w:t>
      </w:r>
      <w:r w:rsidR="00035B9B">
        <w:t>я</w:t>
      </w:r>
      <w:r w:rsidR="008260F6" w:rsidRPr="00E92D79">
        <w:t xml:space="preserve"> Учреждения и </w:t>
      </w:r>
      <w:r w:rsidR="00421E93" w:rsidRPr="00E92D79">
        <w:t>свое</w:t>
      </w:r>
      <w:r w:rsidR="00035B9B">
        <w:t>го</w:t>
      </w:r>
      <w:r w:rsidR="00421E93" w:rsidRPr="00E92D79">
        <w:t xml:space="preserve"> </w:t>
      </w:r>
      <w:r w:rsidRPr="00E92D79">
        <w:t>непосредственно</w:t>
      </w:r>
      <w:r w:rsidR="00035B9B">
        <w:t>го</w:t>
      </w:r>
      <w:r w:rsidRPr="00E92D79">
        <w:t xml:space="preserve"> руководител</w:t>
      </w:r>
      <w:r w:rsidR="00035B9B">
        <w:t>я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CF5D25" w:rsidRPr="00E92D79" w:rsidRDefault="004C3AEC" w:rsidP="004C3AEC">
      <w:pPr>
        <w:pStyle w:val="af4"/>
        <w:jc w:val="both"/>
        <w:rPr>
          <w:b/>
        </w:rPr>
      </w:pPr>
      <w:r>
        <w:t xml:space="preserve">                 </w:t>
      </w:r>
      <w:r w:rsidR="00F3638A"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0"/>
        <w:gridCol w:w="6171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5B3F77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 xml:space="preserve">Нормативное обеспечение, закрепление стандартов поведения 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35B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внедрение </w:t>
            </w:r>
            <w:r w:rsidR="00035B9B">
              <w:t>П</w:t>
            </w:r>
            <w:r w:rsidRPr="00E92D79">
              <w:t>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35B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674E19" w:rsidRPr="00E92D79" w:rsidDel="002A6134">
              <w:t xml:space="preserve"> </w:t>
            </w:r>
            <w:r w:rsidRPr="00E92D79">
              <w:t>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 xml:space="preserve">, связанных с </w:t>
            </w:r>
            <w:r w:rsidR="00035B9B">
              <w:t>принятием мер по предотвращению и урегулированию конфликта интересов в соответствии с действующим законодательством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F3638A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</w:t>
      </w:r>
      <w:r w:rsidR="00F3638A"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806783" w:rsidRPr="00E92D79" w:rsidRDefault="004C3AEC" w:rsidP="004C3AEC">
      <w:pPr>
        <w:pStyle w:val="af4"/>
        <w:jc w:val="both"/>
      </w:pPr>
      <w:r>
        <w:rPr>
          <w:b/>
        </w:rPr>
        <w:t xml:space="preserve">        </w:t>
      </w:r>
      <w:r w:rsidR="00F3638A"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 xml:space="preserve">добросовестной и честной основе, заботятся о собственной репутации, </w:t>
      </w:r>
      <w:r w:rsidRPr="00E92D79">
        <w:lastRenderedPageBreak/>
        <w:t>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D33C6" w:rsidRPr="00E92D79" w:rsidRDefault="004C3AEC" w:rsidP="004C3AEC">
      <w:pPr>
        <w:pStyle w:val="af4"/>
        <w:jc w:val="both"/>
        <w:rPr>
          <w:b/>
        </w:rPr>
      </w:pPr>
      <w:r>
        <w:rPr>
          <w:b/>
        </w:rPr>
        <w:t xml:space="preserve">                                 </w:t>
      </w:r>
      <w:r w:rsidR="00F3638A"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2D33C6" w:rsidRPr="00E92D79" w:rsidRDefault="004C3AEC" w:rsidP="004C3AEC">
      <w:pPr>
        <w:pStyle w:val="af4"/>
        <w:jc w:val="both"/>
      </w:pPr>
      <w:r>
        <w:rPr>
          <w:b/>
        </w:rPr>
        <w:t xml:space="preserve">        </w:t>
      </w:r>
      <w:r w:rsidR="006262B7" w:rsidRPr="00E92D79">
        <w:t>1</w:t>
      </w:r>
      <w:r w:rsidR="00F3638A" w:rsidRPr="00E92D79">
        <w:t>7</w:t>
      </w:r>
      <w:r w:rsidR="006262B7"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="006262B7"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="006262B7"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="006262B7"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="006262B7"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6A6354" w:rsidRPr="00E92D79" w:rsidRDefault="00AA1FB4" w:rsidP="000B2C68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E94855" w:rsidRDefault="00E94855" w:rsidP="002D33C6">
      <w:pPr>
        <w:pStyle w:val="af4"/>
        <w:ind w:firstLine="709"/>
        <w:jc w:val="both"/>
      </w:pPr>
      <w:r w:rsidRPr="00E92D79">
        <w:t>- должность начальника хозяйственного отдела;</w:t>
      </w:r>
    </w:p>
    <w:p w:rsidR="004D77B1" w:rsidRPr="00E92D79" w:rsidRDefault="005B3F77" w:rsidP="000B2C68">
      <w:pPr>
        <w:pStyle w:val="af4"/>
        <w:ind w:firstLine="709"/>
        <w:jc w:val="both"/>
      </w:pPr>
      <w:r>
        <w:t>- должности, связанные с закупоч</w:t>
      </w:r>
      <w:r w:rsidR="000B2C68">
        <w:t>ной деятельностью</w:t>
      </w:r>
    </w:p>
    <w:p w:rsidR="002D33C6" w:rsidRPr="004C3AEC" w:rsidRDefault="004C3AEC" w:rsidP="004C3AEC">
      <w:pPr>
        <w:pStyle w:val="af4"/>
        <w:ind w:firstLine="709"/>
        <w:jc w:val="both"/>
        <w:rPr>
          <w:sz w:val="22"/>
        </w:rPr>
      </w:pPr>
      <w:r>
        <w:rPr>
          <w:sz w:val="22"/>
        </w:rPr>
        <w:t xml:space="preserve">    </w:t>
      </w:r>
      <w:r w:rsidR="00F3638A"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lastRenderedPageBreak/>
        <w:t>- все виды платных услуг, оказываемых Учреждением;</w:t>
      </w:r>
    </w:p>
    <w:p w:rsidR="002D33C6" w:rsidRPr="00E92D79" w:rsidRDefault="002D33C6" w:rsidP="000B2C68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B343B1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  <w:r>
        <w:t xml:space="preserve">                              </w:t>
      </w:r>
      <w:r w:rsidR="00F3638A"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A53304" w:rsidRPr="00E92D79" w:rsidRDefault="004C3AEC" w:rsidP="004C3AEC">
      <w:pPr>
        <w:keepNext/>
        <w:keepLines/>
        <w:tabs>
          <w:tab w:val="left" w:pos="0"/>
          <w:tab w:val="left" w:pos="993"/>
        </w:tabs>
        <w:jc w:val="both"/>
      </w:pPr>
      <w:r>
        <w:t xml:space="preserve">          </w:t>
      </w:r>
      <w:r w:rsidR="00F3638A"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4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917000" w:rsidRDefault="005E3005" w:rsidP="006B07D4">
      <w:pPr>
        <w:pStyle w:val="af4"/>
        <w:ind w:firstLine="709"/>
        <w:jc w:val="both"/>
      </w:pPr>
      <w:r w:rsidRPr="00E92D79">
        <w:t>- не противоречить нормам действующего законодательства, принципам и требованиям настоящего Положения, другим локальн</w:t>
      </w:r>
      <w:r w:rsidR="00917000">
        <w:t>ым нормативным актам Учреждения;</w:t>
      </w:r>
    </w:p>
    <w:p w:rsidR="00917000" w:rsidRDefault="00917000" w:rsidP="006B07D4">
      <w:pPr>
        <w:pStyle w:val="af4"/>
        <w:ind w:firstLine="709"/>
        <w:jc w:val="both"/>
      </w:pPr>
      <w:r>
        <w:t>- не носить систематический характер (от одних и тех же лиц или одним и тем же лицам в течение определенного периода);</w:t>
      </w:r>
    </w:p>
    <w:p w:rsidR="005E3005" w:rsidRDefault="00917000" w:rsidP="006B07D4">
      <w:pPr>
        <w:pStyle w:val="af4"/>
        <w:ind w:firstLine="709"/>
        <w:jc w:val="both"/>
      </w:pPr>
      <w:r>
        <w:t xml:space="preserve">- </w:t>
      </w:r>
      <w:r w:rsidR="005E3005" w:rsidRPr="00E92D79">
        <w:t xml:space="preserve"> </w:t>
      </w:r>
      <w:r>
        <w:t>не вызывать конфликт интересов;</w:t>
      </w:r>
    </w:p>
    <w:p w:rsidR="00917000" w:rsidRPr="00E92D79" w:rsidRDefault="00917000" w:rsidP="006B07D4">
      <w:pPr>
        <w:pStyle w:val="af4"/>
        <w:ind w:firstLine="709"/>
        <w:jc w:val="both"/>
      </w:pPr>
      <w:r>
        <w:t>- не должны быть расценены в качестве оплаты за выполнение/невыполнение работником Учреждения, контрагентом, государственным или муниципальным служащим своих должностных обязанностей.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4C3AEC" w:rsidP="004C3AEC">
      <w:pPr>
        <w:pStyle w:val="af4"/>
        <w:jc w:val="both"/>
      </w:pPr>
      <w:r>
        <w:t xml:space="preserve">        </w:t>
      </w:r>
      <w:r w:rsidR="00F3638A"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 xml:space="preserve">осуществляется в целях формирования антикоррупционного мировоззрения, </w:t>
      </w:r>
      <w:r w:rsidR="005E3005" w:rsidRPr="00E92D79">
        <w:lastRenderedPageBreak/>
        <w:t>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>осуществляется за счет Учреждения в форме подготовки (переподготовки)</w:t>
      </w:r>
      <w:r w:rsidR="009B4E86">
        <w:t>,</w:t>
      </w:r>
      <w:r w:rsidR="005E3005" w:rsidRPr="00E92D79">
        <w:t xml:space="preserve"> повышения квалификации</w:t>
      </w:r>
      <w:r w:rsidR="009B4E86">
        <w:t xml:space="preserve"> и стажировки</w:t>
      </w:r>
      <w:r w:rsidR="005E3005" w:rsidRPr="00E92D79">
        <w:t xml:space="preserve">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</w:t>
      </w:r>
      <w:r w:rsidR="009B4E86">
        <w:t>профилактику коррупционных и иных правонарушений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</w:t>
      </w:r>
      <w:r w:rsidR="009B4E86">
        <w:t>профилактику коррупционных и иных правонарушений</w:t>
      </w:r>
      <w:r w:rsidR="00456B85" w:rsidRPr="00E92D79">
        <w:t xml:space="preserve">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4C3AEC" w:rsidP="004C3AEC">
      <w:pPr>
        <w:pStyle w:val="af4"/>
        <w:jc w:val="both"/>
        <w:rPr>
          <w:b/>
        </w:rPr>
      </w:pPr>
      <w:r>
        <w:t xml:space="preserve">                                     </w:t>
      </w:r>
      <w:r w:rsidR="00F3638A"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4C3AEC" w:rsidP="004C3AEC">
      <w:pPr>
        <w:pStyle w:val="af4"/>
        <w:jc w:val="both"/>
      </w:pPr>
      <w:r>
        <w:t xml:space="preserve">          </w:t>
      </w:r>
      <w:r w:rsidR="00F3638A"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 xml:space="preserve"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</w:t>
      </w:r>
      <w:r w:rsidR="005E3005" w:rsidRPr="00E92D79">
        <w:lastRenderedPageBreak/>
        <w:t>отсутствие первичных учетных документов, исправления в документах и отчетности, уничтожение документов и отчетности ра</w:t>
      </w:r>
      <w:r w:rsidR="004C3AEC">
        <w:t>нее установленного срока.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4C3AEC" w:rsidP="004C3AE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F3638A"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4C3AEC" w:rsidP="004C3AEC">
      <w:pPr>
        <w:pStyle w:val="af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  <w:r w:rsidR="00C27D89"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</w:t>
      </w:r>
      <w:r w:rsidR="009B4E86">
        <w:t>профилактику коррупционных и иных правонарушений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 xml:space="preserve">органы, уполномоченные на осуществление государственного контроля (надзора) </w:t>
      </w:r>
      <w:r w:rsidR="005E3005" w:rsidRPr="00E92D79">
        <w:t xml:space="preserve"> и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</w:t>
      </w:r>
      <w:r w:rsidR="005E3005" w:rsidRPr="00E92D79">
        <w:lastRenderedPageBreak/>
        <w:t>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AA3E83" w:rsidRPr="00E92D79" w:rsidRDefault="00F3638A" w:rsidP="004C3AEC">
      <w:pPr>
        <w:pStyle w:val="af4"/>
        <w:jc w:val="both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4C3AEC" w:rsidP="004C3AEC">
      <w:pPr>
        <w:pStyle w:val="af4"/>
        <w:jc w:val="both"/>
      </w:pPr>
      <w:r>
        <w:rPr>
          <w:b/>
        </w:rPr>
        <w:t xml:space="preserve">         </w:t>
      </w:r>
      <w:r w:rsidR="00C27D89" w:rsidRPr="00E92D79">
        <w:t>38.</w:t>
      </w:r>
      <w:r w:rsidR="00C27D89"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Pr="00E92D79" w:rsidRDefault="00F3638A" w:rsidP="004C3AEC">
      <w:pPr>
        <w:pStyle w:val="af4"/>
        <w:jc w:val="both"/>
        <w:rPr>
          <w:b/>
        </w:rPr>
      </w:pPr>
      <w:r w:rsidRPr="00E92D79">
        <w:rPr>
          <w:b/>
          <w:lang w:val="en-US"/>
        </w:rPr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  <w:r w:rsidR="005E3005"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4C3AEC" w:rsidP="004C3AEC">
      <w:pPr>
        <w:pStyle w:val="af4"/>
        <w:jc w:val="both"/>
      </w:pPr>
      <w:r>
        <w:t xml:space="preserve">          </w:t>
      </w:r>
      <w:r w:rsidR="005E3005"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="005E3005" w:rsidRPr="00E92D79">
        <w:t>нтикоррупционной политики</w:t>
      </w:r>
      <w:r w:rsidR="00456B85" w:rsidRPr="00E92D79">
        <w:t xml:space="preserve"> Учреждения</w:t>
      </w:r>
      <w:r w:rsidR="005E3005"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</w:t>
      </w:r>
      <w:r w:rsidR="009B4E86">
        <w:t xml:space="preserve">профилактику коррупционных и иных правонарушений </w:t>
      </w:r>
      <w:r w:rsidR="00456B85" w:rsidRPr="00E92D79">
        <w:t>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315" w:rsidRDefault="00A95315" w:rsidP="00D70CFE">
      <w:r>
        <w:separator/>
      </w:r>
    </w:p>
  </w:endnote>
  <w:endnote w:type="continuationSeparator" w:id="0">
    <w:p w:rsidR="00A95315" w:rsidRDefault="00A95315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315" w:rsidRDefault="00A95315" w:rsidP="00D70CFE">
      <w:r>
        <w:separator/>
      </w:r>
    </w:p>
  </w:footnote>
  <w:footnote w:type="continuationSeparator" w:id="0">
    <w:p w:rsidR="00A95315" w:rsidRDefault="00A95315" w:rsidP="00D70CFE">
      <w:r>
        <w:continuationSeparator/>
      </w:r>
    </w:p>
  </w:footnote>
  <w:footnote w:id="1">
    <w:p w:rsidR="0098255C" w:rsidRDefault="0098255C" w:rsidP="0098255C">
      <w:pPr>
        <w:pStyle w:val="af5"/>
        <w:jc w:val="both"/>
      </w:pPr>
    </w:p>
  </w:footnote>
  <w:footnote w:id="2">
    <w:p w:rsidR="00EA7820" w:rsidRDefault="00EA7820" w:rsidP="000908C6">
      <w:pPr>
        <w:pStyle w:val="af5"/>
        <w:jc w:val="both"/>
      </w:pPr>
    </w:p>
  </w:footnote>
  <w:footnote w:id="3">
    <w:p w:rsidR="00F72E19" w:rsidRDefault="00F72E19" w:rsidP="000B2C68">
      <w:pPr>
        <w:keepNext/>
        <w:keepLines/>
        <w:tabs>
          <w:tab w:val="left" w:pos="0"/>
          <w:tab w:val="left" w:pos="993"/>
        </w:tabs>
        <w:jc w:val="both"/>
      </w:pPr>
    </w:p>
  </w:footnote>
  <w:footnote w:id="4">
    <w:p w:rsidR="00374796" w:rsidRDefault="00374796" w:rsidP="00CD11E6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374796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4C3AEC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5B9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2C68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0B97"/>
    <w:rsid w:val="001B2CF3"/>
    <w:rsid w:val="001B49F0"/>
    <w:rsid w:val="001B7F97"/>
    <w:rsid w:val="001C0234"/>
    <w:rsid w:val="001C1202"/>
    <w:rsid w:val="001C3B37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3A0B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3E98"/>
    <w:rsid w:val="004B447F"/>
    <w:rsid w:val="004B6E34"/>
    <w:rsid w:val="004C305F"/>
    <w:rsid w:val="004C3AEC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9F8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B3F77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27109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7661B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190F"/>
    <w:rsid w:val="00815591"/>
    <w:rsid w:val="00815EE4"/>
    <w:rsid w:val="008210B1"/>
    <w:rsid w:val="00822585"/>
    <w:rsid w:val="008260F6"/>
    <w:rsid w:val="008335FA"/>
    <w:rsid w:val="008348E3"/>
    <w:rsid w:val="00836046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000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B4E86"/>
    <w:rsid w:val="009C10E9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531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AF1292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47429"/>
    <w:rsid w:val="00B5737E"/>
    <w:rsid w:val="00B821FF"/>
    <w:rsid w:val="00B82369"/>
    <w:rsid w:val="00B865F2"/>
    <w:rsid w:val="00B926FE"/>
    <w:rsid w:val="00B93431"/>
    <w:rsid w:val="00B93B19"/>
    <w:rsid w:val="00B93B5C"/>
    <w:rsid w:val="00BA3933"/>
    <w:rsid w:val="00BC6C15"/>
    <w:rsid w:val="00BD23D1"/>
    <w:rsid w:val="00BD6A90"/>
    <w:rsid w:val="00BE3708"/>
    <w:rsid w:val="00BE502F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691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3D2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2A3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220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15BCC"/>
  <w15:docId w15:val="{E6BD8CB3-BDA6-4C63-9554-AEE95BDB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3A5F-B852-4806-B012-C89F70E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Admin</cp:lastModifiedBy>
  <cp:revision>2</cp:revision>
  <cp:lastPrinted>2023-02-27T12:07:00Z</cp:lastPrinted>
  <dcterms:created xsi:type="dcterms:W3CDTF">2023-02-27T12:07:00Z</dcterms:created>
  <dcterms:modified xsi:type="dcterms:W3CDTF">2023-02-27T12:07:00Z</dcterms:modified>
</cp:coreProperties>
</file>